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9CB7A">
      <w:pPr>
        <w:keepNext w:val="0"/>
        <w:keepLines w:val="0"/>
        <w:widowControl/>
        <w:suppressLineNumbers w:val="0"/>
        <w:pBdr>
          <w:bottom w:val="none" w:color="auto" w:sz="0" w:space="0"/>
        </w:pBdr>
        <w:spacing w:line="450" w:lineRule="atLeast"/>
        <w:ind w:left="0" w:firstLine="0"/>
        <w:jc w:val="center"/>
        <w:rPr>
          <w:rFonts w:ascii="微软雅黑" w:hAnsi="微软雅黑" w:eastAsia="微软雅黑" w:cs="微软雅黑"/>
          <w:b/>
          <w:bCs/>
          <w:i w:val="0"/>
          <w:iCs w:val="0"/>
          <w:caps w:val="0"/>
          <w:color w:val="000000"/>
          <w:spacing w:val="0"/>
          <w:sz w:val="28"/>
          <w:szCs w:val="28"/>
        </w:rPr>
      </w:pPr>
      <w:r>
        <w:rPr>
          <w:rFonts w:hint="eastAsia" w:ascii="微软雅黑" w:hAnsi="微软雅黑" w:eastAsia="微软雅黑" w:cs="微软雅黑"/>
          <w:b/>
          <w:bCs/>
          <w:i w:val="0"/>
          <w:iCs w:val="0"/>
          <w:caps w:val="0"/>
          <w:color w:val="000000"/>
          <w:spacing w:val="0"/>
          <w:kern w:val="0"/>
          <w:sz w:val="28"/>
          <w:szCs w:val="28"/>
          <w:lang w:val="en-US" w:eastAsia="zh-CN" w:bidi="ar"/>
        </w:rPr>
        <w:t>浙江国华工程管理有限公司关于嘉兴市教育局2025年直属学校暑期维修项目的更正公告</w:t>
      </w:r>
    </w:p>
    <w:p w14:paraId="48144D7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b/>
          <w:bCs/>
          <w:sz w:val="21"/>
          <w:szCs w:val="21"/>
        </w:rPr>
      </w:pPr>
      <w:r>
        <w:rPr>
          <w:rFonts w:hint="eastAsia" w:ascii="微软雅黑" w:hAnsi="微软雅黑" w:eastAsia="微软雅黑" w:cs="微软雅黑"/>
          <w:b/>
          <w:bCs/>
          <w:i w:val="0"/>
          <w:iCs w:val="0"/>
          <w:caps w:val="0"/>
          <w:color w:val="000000"/>
          <w:spacing w:val="0"/>
          <w:sz w:val="21"/>
          <w:szCs w:val="21"/>
        </w:rPr>
        <w:t>一、项目基本情况</w:t>
      </w:r>
    </w:p>
    <w:p w14:paraId="4F903FB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原公告的采购项目编号：ZJGH-2025-11</w:t>
      </w:r>
    </w:p>
    <w:p w14:paraId="16B95E8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原公告的采购项目名称：嘉兴市教育局2025年直属学校暑期维修项目</w:t>
      </w:r>
    </w:p>
    <w:p w14:paraId="7CF9189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首次公告日期：2025年0</w:t>
      </w:r>
      <w:r>
        <w:rPr>
          <w:rFonts w:hint="eastAsia" w:ascii="微软雅黑" w:hAnsi="微软雅黑" w:eastAsia="微软雅黑" w:cs="微软雅黑"/>
          <w:i w:val="0"/>
          <w:iCs w:val="0"/>
          <w:caps w:val="0"/>
          <w:color w:val="000000"/>
          <w:spacing w:val="0"/>
          <w:sz w:val="21"/>
          <w:szCs w:val="21"/>
          <w:lang w:val="en-US" w:eastAsia="zh-CN"/>
        </w:rPr>
        <w:t>6</w:t>
      </w:r>
      <w:r>
        <w:rPr>
          <w:rFonts w:hint="eastAsia" w:ascii="微软雅黑" w:hAnsi="微软雅黑" w:eastAsia="微软雅黑" w:cs="微软雅黑"/>
          <w:i w:val="0"/>
          <w:iCs w:val="0"/>
          <w:caps w:val="0"/>
          <w:color w:val="000000"/>
          <w:spacing w:val="0"/>
          <w:sz w:val="21"/>
          <w:szCs w:val="21"/>
        </w:rPr>
        <w:t>月</w:t>
      </w:r>
      <w:r>
        <w:rPr>
          <w:rFonts w:hint="eastAsia" w:ascii="微软雅黑" w:hAnsi="微软雅黑" w:eastAsia="微软雅黑" w:cs="微软雅黑"/>
          <w:i w:val="0"/>
          <w:iCs w:val="0"/>
          <w:caps w:val="0"/>
          <w:color w:val="000000"/>
          <w:spacing w:val="0"/>
          <w:sz w:val="21"/>
          <w:szCs w:val="21"/>
          <w:lang w:val="en-US" w:eastAsia="zh-CN"/>
        </w:rPr>
        <w:t>27</w:t>
      </w:r>
      <w:r>
        <w:rPr>
          <w:rFonts w:hint="eastAsia" w:ascii="微软雅黑" w:hAnsi="微软雅黑" w:eastAsia="微软雅黑" w:cs="微软雅黑"/>
          <w:i w:val="0"/>
          <w:iCs w:val="0"/>
          <w:caps w:val="0"/>
          <w:color w:val="000000"/>
          <w:spacing w:val="0"/>
          <w:sz w:val="21"/>
          <w:szCs w:val="21"/>
        </w:rPr>
        <w:t>日</w:t>
      </w:r>
    </w:p>
    <w:p w14:paraId="51EC7B4A">
      <w:pPr>
        <w:pStyle w:val="3"/>
        <w:keepNext w:val="0"/>
        <w:keepLines w:val="0"/>
        <w:pageBreakBefore w:val="0"/>
        <w:widowControl/>
        <w:suppressLineNumbers w:val="0"/>
        <w:kinsoku/>
        <w:wordWrap/>
        <w:overflowPunct/>
        <w:topLinePunct w:val="0"/>
        <w:autoSpaceDE/>
        <w:autoSpaceDN/>
        <w:bidi w:val="0"/>
        <w:adjustRightInd/>
        <w:snapToGrid/>
        <w:spacing w:before="300" w:beforeAutospacing="0" w:after="0" w:afterAutospacing="0" w:line="400" w:lineRule="exact"/>
        <w:ind w:left="0" w:right="0"/>
        <w:textAlignment w:val="auto"/>
        <w:rPr>
          <w:b/>
          <w:bCs/>
          <w:sz w:val="21"/>
          <w:szCs w:val="21"/>
        </w:rPr>
      </w:pPr>
      <w:r>
        <w:rPr>
          <w:rFonts w:hint="eastAsia" w:ascii="微软雅黑" w:hAnsi="微软雅黑" w:eastAsia="微软雅黑" w:cs="微软雅黑"/>
          <w:b/>
          <w:bCs/>
          <w:i w:val="0"/>
          <w:iCs w:val="0"/>
          <w:caps w:val="0"/>
          <w:color w:val="000000"/>
          <w:spacing w:val="0"/>
          <w:sz w:val="21"/>
          <w:szCs w:val="21"/>
        </w:rPr>
        <w:t>二、更正信息</w:t>
      </w:r>
    </w:p>
    <w:p w14:paraId="00B5C17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更正事项：采购文件</w:t>
      </w:r>
    </w:p>
    <w:p w14:paraId="481F659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sz w:val="21"/>
          <w:szCs w:val="21"/>
        </w:rPr>
      </w:pPr>
      <w:r>
        <w:rPr>
          <w:rFonts w:hint="eastAsia" w:ascii="微软雅黑" w:hAnsi="微软雅黑" w:eastAsia="微软雅黑" w:cs="微软雅黑"/>
          <w:i w:val="0"/>
          <w:iCs w:val="0"/>
          <w:caps w:val="0"/>
          <w:color w:val="000000"/>
          <w:spacing w:val="0"/>
          <w:sz w:val="21"/>
          <w:szCs w:val="21"/>
        </w:rPr>
        <w:t>更正内容：</w:t>
      </w:r>
    </w:p>
    <w:tbl>
      <w:tblPr>
        <w:tblStyle w:val="4"/>
        <w:tblW w:w="89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0" w:type="dxa"/>
          <w:bottom w:w="15" w:type="dxa"/>
          <w:right w:w="15" w:type="dxa"/>
        </w:tblCellMar>
      </w:tblPr>
      <w:tblGrid>
        <w:gridCol w:w="711"/>
        <w:gridCol w:w="1302"/>
        <w:gridCol w:w="3176"/>
        <w:gridCol w:w="3788"/>
      </w:tblGrid>
      <w:tr w14:paraId="2C85B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0" w:type="dxa"/>
            <w:bottom w:w="15" w:type="dxa"/>
            <w:right w:w="15" w:type="dxa"/>
          </w:tblCellMar>
        </w:tblPrEx>
        <w:tc>
          <w:tcPr>
            <w:tcW w:w="396" w:type="pct"/>
            <w:tcBorders>
              <w:top w:val="single" w:color="DDDDDD" w:sz="6" w:space="0"/>
              <w:left w:val="single" w:color="DDDDDD" w:sz="6" w:space="0"/>
              <w:bottom w:val="single" w:color="DDDDDD" w:sz="6" w:space="0"/>
              <w:right w:val="single" w:color="DDDDDD" w:sz="6" w:space="0"/>
            </w:tcBorders>
            <w:shd w:val="clear" w:color="auto" w:fill="EEEEEE"/>
            <w:tcMar>
              <w:top w:w="120" w:type="dxa"/>
              <w:left w:w="120" w:type="dxa"/>
              <w:bottom w:w="120" w:type="dxa"/>
              <w:right w:w="120" w:type="dxa"/>
            </w:tcMar>
            <w:vAlign w:val="top"/>
          </w:tcPr>
          <w:p w14:paraId="36D119D6">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序号</w:t>
            </w:r>
          </w:p>
        </w:tc>
        <w:tc>
          <w:tcPr>
            <w:tcW w:w="725" w:type="pct"/>
            <w:tcBorders>
              <w:top w:val="single" w:color="DDDDDD" w:sz="6" w:space="0"/>
              <w:left w:val="single" w:color="DDDDDD" w:sz="6" w:space="0"/>
              <w:bottom w:val="single" w:color="DDDDDD" w:sz="6" w:space="0"/>
              <w:right w:val="single" w:color="DDDDDD" w:sz="6" w:space="0"/>
            </w:tcBorders>
            <w:shd w:val="clear" w:color="auto" w:fill="EEEEEE"/>
            <w:tcMar>
              <w:top w:w="120" w:type="dxa"/>
              <w:left w:w="120" w:type="dxa"/>
              <w:bottom w:w="120" w:type="dxa"/>
              <w:right w:w="120" w:type="dxa"/>
            </w:tcMar>
            <w:vAlign w:val="top"/>
          </w:tcPr>
          <w:p w14:paraId="63F5CDC5">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更正项</w:t>
            </w:r>
          </w:p>
        </w:tc>
        <w:tc>
          <w:tcPr>
            <w:tcW w:w="1768" w:type="pct"/>
            <w:tcBorders>
              <w:top w:val="single" w:color="DDDDDD" w:sz="6" w:space="0"/>
              <w:left w:val="single" w:color="DDDDDD" w:sz="6" w:space="0"/>
              <w:bottom w:val="single" w:color="DDDDDD" w:sz="6" w:space="0"/>
              <w:right w:val="single" w:color="DDDDDD" w:sz="6" w:space="0"/>
            </w:tcBorders>
            <w:shd w:val="clear" w:color="auto" w:fill="EEEEEE"/>
            <w:tcMar>
              <w:top w:w="120" w:type="dxa"/>
              <w:left w:w="120" w:type="dxa"/>
              <w:bottom w:w="120" w:type="dxa"/>
              <w:right w:w="120" w:type="dxa"/>
            </w:tcMar>
            <w:vAlign w:val="top"/>
          </w:tcPr>
          <w:p w14:paraId="64E665AE">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更正前内容</w:t>
            </w:r>
          </w:p>
        </w:tc>
        <w:tc>
          <w:tcPr>
            <w:tcW w:w="2109" w:type="pct"/>
            <w:tcBorders>
              <w:top w:val="single" w:color="DDDDDD" w:sz="6" w:space="0"/>
              <w:left w:val="single" w:color="DDDDDD" w:sz="6" w:space="0"/>
              <w:bottom w:val="single" w:color="DDDDDD" w:sz="6" w:space="0"/>
              <w:right w:val="single" w:color="DDDDDD" w:sz="6" w:space="0"/>
            </w:tcBorders>
            <w:shd w:val="clear" w:color="auto" w:fill="EEEEEE"/>
            <w:tcMar>
              <w:top w:w="120" w:type="dxa"/>
              <w:left w:w="120" w:type="dxa"/>
              <w:bottom w:w="120" w:type="dxa"/>
              <w:right w:w="120" w:type="dxa"/>
            </w:tcMar>
            <w:vAlign w:val="top"/>
          </w:tcPr>
          <w:p w14:paraId="30223632">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更正后内容</w:t>
            </w:r>
          </w:p>
        </w:tc>
      </w:tr>
      <w:tr w14:paraId="06137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0" w:type="dxa"/>
            <w:bottom w:w="15" w:type="dxa"/>
            <w:right w:w="15" w:type="dxa"/>
          </w:tblCellMar>
        </w:tblPrEx>
        <w:tc>
          <w:tcPr>
            <w:tcW w:w="396"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2820D707">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1</w:t>
            </w:r>
          </w:p>
        </w:tc>
        <w:tc>
          <w:tcPr>
            <w:tcW w:w="725"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28C663A2">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磋商供应商不足三家的处理</w:t>
            </w:r>
          </w:p>
        </w:tc>
        <w:tc>
          <w:tcPr>
            <w:tcW w:w="1768"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754C81B3">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1、至磋商报价截止时间，供应商不足3家以及在磋商期间出现符合专业条件的供应商或者对采购文件做出实质性响应的供应商不足3家的，按照《政府采购竞争性磋商采购方式管理暂行办法》（财库【2014】214号）办理。</w:t>
            </w:r>
          </w:p>
        </w:tc>
        <w:tc>
          <w:tcPr>
            <w:tcW w:w="2109"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3F861CC1">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lang w:val="en-US"/>
              </w:rPr>
            </w:pPr>
            <w:r>
              <w:rPr>
                <w:rFonts w:hint="eastAsia" w:ascii="宋体" w:hAnsi="宋体" w:eastAsia="宋体" w:cs="宋体"/>
                <w:sz w:val="21"/>
                <w:szCs w:val="21"/>
                <w:lang w:val="en-US" w:eastAsia="zh-CN"/>
              </w:rPr>
              <w:t>删除本条款内容</w:t>
            </w:r>
          </w:p>
        </w:tc>
      </w:tr>
      <w:tr w14:paraId="2401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0" w:type="dxa"/>
            <w:bottom w:w="15" w:type="dxa"/>
            <w:right w:w="15" w:type="dxa"/>
          </w:tblCellMar>
        </w:tblPrEx>
        <w:tc>
          <w:tcPr>
            <w:tcW w:w="396"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2D8E641E">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2</w:t>
            </w:r>
          </w:p>
        </w:tc>
        <w:tc>
          <w:tcPr>
            <w:tcW w:w="725"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6E1642FE">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响应文件无效的情形</w:t>
            </w:r>
          </w:p>
        </w:tc>
        <w:tc>
          <w:tcPr>
            <w:tcW w:w="1768"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70E88A98">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新增第7、项</w:t>
            </w:r>
          </w:p>
        </w:tc>
        <w:tc>
          <w:tcPr>
            <w:tcW w:w="2109"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2F8191D9">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除政府采购法律法规规章规定的属于恶意串通、视为串通投标情形外，在不影响公平竞争的前提下，采购人在采购文件中明确规定参与同一个采购包（标段）的供应商存在下列情形之一且无法合理解释的，其投标（响应）文件无效：</w:t>
            </w:r>
          </w:p>
          <w:p w14:paraId="788FA15A">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不同供应商的电子投标（响应）文件上传计算机的网卡MAC地址或硬盘序列号等硬件信息相同的；</w:t>
            </w:r>
          </w:p>
          <w:p w14:paraId="78E5447E">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上传的电子投标（响应）文件若出现使用本项目其他投标（响应）供应商的数字证书加密的，或者加盖本项目其他投标（响应）供应商的电子印章的；</w:t>
            </w:r>
          </w:p>
          <w:p w14:paraId="01DD7692">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不同供应商的投标（响应）文件的内容存在3处（含）以上错误一致的；</w:t>
            </w:r>
          </w:p>
          <w:p w14:paraId="7EF88C92">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不同供应商联系人为同一人或不同联系人的联系电话一致的。</w:t>
            </w:r>
          </w:p>
          <w:p w14:paraId="11CA029E">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在资格审查过程中，如发现本系统供应商有采购文件约定的上述情形，采购人、采购代理机构应当根据采购文件认定其投标（响应）无效，并书面报告本级财政部门；在评审过程中，发现供应商有采购文件约定的上述情形的，评审小组应当根据采购文件认定其投标（响应）无效，评审报告应详细记录相关情况，评审结束后由采购代理机构或采购人书面报告本级财政部门。</w:t>
            </w:r>
          </w:p>
        </w:tc>
      </w:tr>
      <w:tr w14:paraId="3ABF6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0" w:type="dxa"/>
            <w:bottom w:w="15" w:type="dxa"/>
            <w:right w:w="15" w:type="dxa"/>
          </w:tblCellMar>
        </w:tblPrEx>
        <w:tc>
          <w:tcPr>
            <w:tcW w:w="396"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39B68F8D">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kern w:val="0"/>
                <w:sz w:val="21"/>
                <w:szCs w:val="21"/>
                <w:lang w:val="en-US" w:eastAsia="zh-CN" w:bidi="ar"/>
              </w:rPr>
              <w:t>3</w:t>
            </w:r>
          </w:p>
        </w:tc>
        <w:tc>
          <w:tcPr>
            <w:tcW w:w="725"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42270C07">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技术评分</w:t>
            </w:r>
          </w:p>
        </w:tc>
        <w:tc>
          <w:tcPr>
            <w:tcW w:w="1768"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593C828A">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现场投入主要机械设备及检测仪器：根据投标人提供的现场投入主要机械设备及检测仪器内容等进行综合比较评分，科学合理的得4.5-6分、较合理的得3-4.5分、一般的得1.5-3分，该项内容缺项的不得分。</w:t>
            </w:r>
          </w:p>
        </w:tc>
        <w:tc>
          <w:tcPr>
            <w:tcW w:w="2109"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39C1731F">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现场投入主要机械设备及检测仪器：</w:t>
            </w:r>
            <w:r>
              <w:rPr>
                <w:rFonts w:hint="eastAsia" w:ascii="宋体" w:hAnsi="宋体" w:eastAsia="宋体" w:cs="宋体"/>
                <w:sz w:val="21"/>
                <w:szCs w:val="21"/>
                <w:lang w:val="en-US" w:eastAsia="zh-CN"/>
              </w:rPr>
              <w:t>根据投标人提供的</w:t>
            </w:r>
            <w:r>
              <w:rPr>
                <w:rFonts w:hint="eastAsia" w:ascii="宋体" w:hAnsi="宋体" w:eastAsia="宋体" w:cs="宋体"/>
                <w:sz w:val="21"/>
                <w:szCs w:val="21"/>
              </w:rPr>
              <w:t>现场投入主要机械设备及检测仪器</w:t>
            </w:r>
            <w:r>
              <w:rPr>
                <w:rFonts w:hint="eastAsia" w:ascii="宋体" w:hAnsi="宋体" w:eastAsia="宋体" w:cs="宋体"/>
                <w:sz w:val="21"/>
                <w:szCs w:val="21"/>
                <w:lang w:val="en-US" w:eastAsia="zh-CN"/>
              </w:rPr>
              <w:t>的购置发票或租赁合同进行比较评分，</w:t>
            </w:r>
            <w:r>
              <w:rPr>
                <w:rFonts w:hint="eastAsia" w:ascii="宋体" w:hAnsi="宋体" w:eastAsia="宋体" w:cs="宋体"/>
                <w:sz w:val="21"/>
                <w:szCs w:val="21"/>
              </w:rPr>
              <w:t>主要机械设备及检测仪器</w:t>
            </w:r>
            <w:r>
              <w:rPr>
                <w:rFonts w:hint="eastAsia" w:ascii="宋体" w:hAnsi="宋体" w:eastAsia="宋体" w:cs="宋体"/>
                <w:sz w:val="21"/>
                <w:szCs w:val="21"/>
                <w:lang w:val="en-US" w:eastAsia="zh-CN"/>
              </w:rPr>
              <w:t>与现场施工节点匹配度高，机械设备清单及检验检测仪器覆盖项目施工要求</w:t>
            </w:r>
            <w:r>
              <w:rPr>
                <w:rFonts w:hint="eastAsia" w:ascii="宋体" w:hAnsi="宋体" w:eastAsia="宋体" w:cs="宋体"/>
                <w:sz w:val="21"/>
                <w:szCs w:val="21"/>
              </w:rPr>
              <w:t>得4.5-6分、大部分设备</w:t>
            </w:r>
            <w:r>
              <w:rPr>
                <w:rFonts w:hint="eastAsia" w:ascii="宋体" w:hAnsi="宋体" w:eastAsia="宋体" w:cs="宋体"/>
                <w:sz w:val="21"/>
                <w:szCs w:val="21"/>
                <w:lang w:val="en-US" w:eastAsia="zh-CN"/>
              </w:rPr>
              <w:t>仪器</w:t>
            </w:r>
            <w:r>
              <w:rPr>
                <w:rFonts w:hint="eastAsia" w:ascii="宋体" w:hAnsi="宋体" w:eastAsia="宋体" w:cs="宋体"/>
                <w:sz w:val="21"/>
                <w:szCs w:val="21"/>
              </w:rPr>
              <w:t>满足项目要求</w:t>
            </w:r>
            <w:r>
              <w:rPr>
                <w:rFonts w:hint="eastAsia" w:ascii="宋体" w:hAnsi="宋体" w:eastAsia="宋体" w:cs="宋体"/>
                <w:sz w:val="21"/>
                <w:szCs w:val="21"/>
                <w:lang w:eastAsia="zh-CN"/>
              </w:rPr>
              <w:t>，数量基本够用</w:t>
            </w:r>
            <w:r>
              <w:rPr>
                <w:rFonts w:hint="eastAsia" w:ascii="宋体" w:hAnsi="宋体" w:eastAsia="宋体" w:cs="宋体"/>
                <w:sz w:val="21"/>
                <w:szCs w:val="21"/>
              </w:rPr>
              <w:t>的得3-4.5分、设备数量勉强够用，个别关键设备短缺</w:t>
            </w:r>
            <w:r>
              <w:rPr>
                <w:rFonts w:hint="eastAsia" w:ascii="宋体" w:hAnsi="宋体" w:eastAsia="宋体" w:cs="宋体"/>
                <w:sz w:val="21"/>
                <w:szCs w:val="21"/>
                <w:lang w:eastAsia="zh-CN"/>
              </w:rPr>
              <w:t>，配套不够理想</w:t>
            </w:r>
            <w:r>
              <w:rPr>
                <w:rFonts w:hint="eastAsia" w:ascii="宋体" w:hAnsi="宋体" w:eastAsia="宋体" w:cs="宋体"/>
                <w:sz w:val="21"/>
                <w:szCs w:val="21"/>
              </w:rPr>
              <w:t>的得1.5-3分，该项内容缺项的不得分。</w:t>
            </w:r>
          </w:p>
        </w:tc>
      </w:tr>
      <w:tr w14:paraId="0C8F0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0" w:type="dxa"/>
            <w:bottom w:w="15" w:type="dxa"/>
            <w:right w:w="15" w:type="dxa"/>
          </w:tblCellMar>
        </w:tblPrEx>
        <w:tc>
          <w:tcPr>
            <w:tcW w:w="396"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32A83F9F">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w:t>
            </w:r>
          </w:p>
        </w:tc>
        <w:tc>
          <w:tcPr>
            <w:tcW w:w="725"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60DA04A7">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其他补充事宜</w:t>
            </w:r>
          </w:p>
        </w:tc>
        <w:tc>
          <w:tcPr>
            <w:tcW w:w="1768"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7D86E9AF">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rPr>
            </w:pPr>
            <w:r>
              <w:rPr>
                <w:rFonts w:hint="eastAsia" w:ascii="宋体" w:hAnsi="宋体" w:eastAsia="宋体" w:cs="宋体"/>
                <w:sz w:val="21"/>
                <w:szCs w:val="21"/>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tc>
        <w:tc>
          <w:tcPr>
            <w:tcW w:w="2109" w:type="pct"/>
            <w:tcBorders>
              <w:top w:val="single" w:color="DDDDDD" w:sz="6" w:space="0"/>
              <w:left w:val="single" w:color="DDDDDD" w:sz="6" w:space="0"/>
              <w:bottom w:val="single" w:color="DDDDDD" w:sz="6" w:space="0"/>
              <w:right w:val="single" w:color="DDDDDD" w:sz="6" w:space="0"/>
            </w:tcBorders>
            <w:shd w:val="clear" w:color="auto" w:fill="auto"/>
            <w:tcMar>
              <w:top w:w="180" w:type="dxa"/>
              <w:left w:w="120" w:type="dxa"/>
              <w:bottom w:w="180" w:type="dxa"/>
              <w:right w:w="120" w:type="dxa"/>
            </w:tcMar>
            <w:vAlign w:val="top"/>
          </w:tcPr>
          <w:p w14:paraId="268AB2A3">
            <w:pPr>
              <w:keepNext w:val="0"/>
              <w:keepLines w:val="0"/>
              <w:pageBreakBefore w:val="0"/>
              <w:widowControl/>
              <w:suppressLineNumbers w:val="0"/>
              <w:kinsoku/>
              <w:wordWrap w:val="0"/>
              <w:overflowPunct/>
              <w:topLinePunct w:val="0"/>
              <w:autoSpaceDE/>
              <w:autoSpaceDN/>
              <w:bidi w:val="0"/>
              <w:adjustRightInd/>
              <w:snapToGrid/>
              <w:spacing w:line="280" w:lineRule="exact"/>
              <w:jc w:val="left"/>
              <w:textAlignment w:val="top"/>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1.《浙江省财政厅关于进一步发挥政府采购政策功能全力推动经济稳进提质的通知》（浙财采监（2022）3号）、《浙江省财政厅关于进一步促进政府采购公平竞争打造最优营商环境的通知》（浙财采监（2</w:t>
            </w:r>
            <w:bookmarkStart w:id="0" w:name="_GoBack"/>
            <w:bookmarkEnd w:id="0"/>
            <w:r>
              <w:rPr>
                <w:rFonts w:hint="eastAsia" w:ascii="宋体" w:hAnsi="宋体" w:eastAsia="宋体" w:cs="宋体"/>
                <w:sz w:val="21"/>
                <w:szCs w:val="21"/>
                <w:lang w:val="en-US" w:eastAsia="zh-CN"/>
              </w:rPr>
              <w:t>021）22号）、《浙江省财政厅关于进一步加大政府采购支持中小企业力度助力扎实稳住经济的通知》（浙财采监〔2022〕8号）、《浙江省财政厅关于进一步规范政府采购秩序促进公平竞争的通知》（浙财采监〔2025〕2号）已分别于2022年1月29日、2022年2月1日、2022年7月1日和2025年4月1日开始实施，此前有关规定与上述文件内容不一致的，按上述文件要求执行。</w:t>
            </w:r>
          </w:p>
        </w:tc>
      </w:tr>
    </w:tbl>
    <w:p w14:paraId="1E8531F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更正日期：2025年</w:t>
      </w:r>
      <w:r>
        <w:rPr>
          <w:rFonts w:hint="eastAsia" w:ascii="微软雅黑" w:hAnsi="微软雅黑" w:eastAsia="微软雅黑" w:cs="微软雅黑"/>
          <w:i w:val="0"/>
          <w:iCs w:val="0"/>
          <w:caps w:val="0"/>
          <w:color w:val="000000"/>
          <w:spacing w:val="0"/>
          <w:sz w:val="21"/>
          <w:szCs w:val="21"/>
          <w:lang w:val="en-US" w:eastAsia="zh-CN"/>
        </w:rPr>
        <w:t>07</w:t>
      </w:r>
      <w:r>
        <w:rPr>
          <w:rFonts w:hint="eastAsia" w:ascii="微软雅黑" w:hAnsi="微软雅黑" w:eastAsia="微软雅黑" w:cs="微软雅黑"/>
          <w:i w:val="0"/>
          <w:iCs w:val="0"/>
          <w:caps w:val="0"/>
          <w:color w:val="000000"/>
          <w:spacing w:val="0"/>
          <w:sz w:val="21"/>
          <w:szCs w:val="21"/>
        </w:rPr>
        <w:t>月</w:t>
      </w:r>
      <w:r>
        <w:rPr>
          <w:rFonts w:hint="eastAsia" w:ascii="微软雅黑" w:hAnsi="微软雅黑" w:eastAsia="微软雅黑" w:cs="微软雅黑"/>
          <w:i w:val="0"/>
          <w:iCs w:val="0"/>
          <w:caps w:val="0"/>
          <w:color w:val="000000"/>
          <w:spacing w:val="0"/>
          <w:sz w:val="21"/>
          <w:szCs w:val="21"/>
          <w:lang w:val="en-US" w:eastAsia="zh-CN"/>
        </w:rPr>
        <w:t>01</w:t>
      </w:r>
      <w:r>
        <w:rPr>
          <w:rFonts w:hint="eastAsia" w:ascii="微软雅黑" w:hAnsi="微软雅黑" w:eastAsia="微软雅黑" w:cs="微软雅黑"/>
          <w:i w:val="0"/>
          <w:iCs w:val="0"/>
          <w:caps w:val="0"/>
          <w:color w:val="000000"/>
          <w:spacing w:val="0"/>
          <w:sz w:val="21"/>
          <w:szCs w:val="21"/>
        </w:rPr>
        <w:t>日</w:t>
      </w:r>
    </w:p>
    <w:p w14:paraId="6CF68BDF">
      <w:pPr>
        <w:pStyle w:val="3"/>
        <w:keepNext w:val="0"/>
        <w:keepLines w:val="0"/>
        <w:pageBreakBefore w:val="0"/>
        <w:widowControl/>
        <w:suppressLineNumbers w:val="0"/>
        <w:kinsoku/>
        <w:wordWrap/>
        <w:overflowPunct/>
        <w:topLinePunct w:val="0"/>
        <w:autoSpaceDE/>
        <w:autoSpaceDN/>
        <w:bidi w:val="0"/>
        <w:adjustRightInd/>
        <w:snapToGrid/>
        <w:spacing w:before="300" w:beforeAutospacing="0" w:after="0" w:afterAutospacing="0" w:line="400" w:lineRule="exact"/>
        <w:ind w:left="0" w:right="0"/>
        <w:textAlignment w:val="auto"/>
        <w:rPr>
          <w:b/>
          <w:bCs/>
          <w:sz w:val="21"/>
          <w:szCs w:val="21"/>
        </w:rPr>
      </w:pPr>
      <w:r>
        <w:rPr>
          <w:rFonts w:hint="eastAsia" w:ascii="微软雅黑" w:hAnsi="微软雅黑" w:eastAsia="微软雅黑" w:cs="微软雅黑"/>
          <w:b/>
          <w:bCs/>
          <w:i w:val="0"/>
          <w:iCs w:val="0"/>
          <w:caps w:val="0"/>
          <w:color w:val="000000"/>
          <w:spacing w:val="0"/>
          <w:sz w:val="21"/>
          <w:szCs w:val="21"/>
        </w:rPr>
        <w:t>三、其他补充事宜</w:t>
      </w:r>
    </w:p>
    <w:p w14:paraId="2FE108F9">
      <w:pPr>
        <w:pStyle w:val="3"/>
        <w:keepNext w:val="0"/>
        <w:keepLines w:val="0"/>
        <w:pageBreakBefore w:val="0"/>
        <w:widowControl/>
        <w:suppressLineNumbers w:val="0"/>
        <w:kinsoku/>
        <w:wordWrap/>
        <w:overflowPunct/>
        <w:topLinePunct w:val="0"/>
        <w:autoSpaceDE/>
        <w:autoSpaceDN/>
        <w:bidi w:val="0"/>
        <w:adjustRightInd/>
        <w:snapToGrid/>
        <w:spacing w:before="300" w:beforeAutospacing="0" w:after="0" w:afterAutospacing="0" w:line="400" w:lineRule="exact"/>
        <w:ind w:left="0" w:right="0"/>
        <w:textAlignment w:val="auto"/>
        <w:rPr>
          <w:b/>
          <w:bCs/>
          <w:sz w:val="21"/>
          <w:szCs w:val="21"/>
        </w:rPr>
      </w:pPr>
      <w:r>
        <w:rPr>
          <w:rFonts w:hint="eastAsia" w:ascii="微软雅黑" w:hAnsi="微软雅黑" w:eastAsia="微软雅黑" w:cs="微软雅黑"/>
          <w:b/>
          <w:bCs/>
          <w:i w:val="0"/>
          <w:iCs w:val="0"/>
          <w:caps w:val="0"/>
          <w:color w:val="000000"/>
          <w:spacing w:val="0"/>
          <w:sz w:val="21"/>
          <w:szCs w:val="21"/>
        </w:rPr>
        <w:t>四、对本次采购提出询问、质疑、投诉，请按以下方式联系。</w:t>
      </w:r>
    </w:p>
    <w:p w14:paraId="1A9A67E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1.采购人信息</w:t>
      </w:r>
    </w:p>
    <w:p w14:paraId="2BFAD46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名称：嘉兴市教育局</w:t>
      </w:r>
    </w:p>
    <w:p w14:paraId="17FC6EE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地址：嘉兴市广益路526号</w:t>
      </w:r>
    </w:p>
    <w:p w14:paraId="5D7377B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项目联系人（询问）：马老师</w:t>
      </w:r>
    </w:p>
    <w:p w14:paraId="71334BC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项目联系方式（询问）：0573-83850517</w:t>
      </w:r>
    </w:p>
    <w:p w14:paraId="5136A49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2.采购代理机构信息</w:t>
      </w:r>
    </w:p>
    <w:p w14:paraId="03D3AB5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名称：浙江国华工程管理有限公司</w:t>
      </w:r>
    </w:p>
    <w:p w14:paraId="041B796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地址：嘉兴市由拳路309号紫御大厦9楼910</w:t>
      </w:r>
    </w:p>
    <w:p w14:paraId="7194D3A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rFonts w:hint="default" w:eastAsia="微软雅黑"/>
          <w:sz w:val="21"/>
          <w:szCs w:val="21"/>
          <w:lang w:val="en-US" w:eastAsia="zh-CN"/>
        </w:rPr>
      </w:pPr>
      <w:r>
        <w:rPr>
          <w:rFonts w:hint="eastAsia" w:ascii="微软雅黑" w:hAnsi="微软雅黑" w:eastAsia="微软雅黑" w:cs="微软雅黑"/>
          <w:i w:val="0"/>
          <w:iCs w:val="0"/>
          <w:caps w:val="0"/>
          <w:color w:val="000000"/>
          <w:spacing w:val="0"/>
          <w:sz w:val="21"/>
          <w:szCs w:val="21"/>
        </w:rPr>
        <w:t>传真：</w:t>
      </w:r>
      <w:r>
        <w:rPr>
          <w:rFonts w:hint="eastAsia" w:ascii="微软雅黑" w:hAnsi="微软雅黑" w:eastAsia="微软雅黑" w:cs="微软雅黑"/>
          <w:i w:val="0"/>
          <w:iCs w:val="0"/>
          <w:caps w:val="0"/>
          <w:color w:val="000000"/>
          <w:spacing w:val="0"/>
          <w:sz w:val="21"/>
          <w:szCs w:val="21"/>
          <w:lang w:val="en-US" w:eastAsia="zh-CN"/>
        </w:rPr>
        <w:t>0573-82062457</w:t>
      </w:r>
    </w:p>
    <w:p w14:paraId="0659D84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项目联系人（询问）：王佳瑜</w:t>
      </w:r>
    </w:p>
    <w:p w14:paraId="52A2712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项目联系方式（询问）：15215942601</w:t>
      </w:r>
    </w:p>
    <w:p w14:paraId="1EC221C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质疑联系人：姜加平</w:t>
      </w:r>
    </w:p>
    <w:p w14:paraId="04BC49C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质疑联系方式：0573-82062711</w:t>
      </w:r>
    </w:p>
    <w:p w14:paraId="4BC5873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3.同级政府采购监督管理部门</w:t>
      </w:r>
    </w:p>
    <w:p w14:paraId="40DF13E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21"/>
          <w:szCs w:val="21"/>
        </w:rPr>
      </w:pPr>
      <w:r>
        <w:rPr>
          <w:rFonts w:hint="eastAsia" w:ascii="微软雅黑" w:hAnsi="微软雅黑" w:eastAsia="微软雅黑" w:cs="微软雅黑"/>
          <w:i w:val="0"/>
          <w:iCs w:val="0"/>
          <w:caps w:val="0"/>
          <w:color w:val="000000"/>
          <w:spacing w:val="0"/>
          <w:sz w:val="21"/>
          <w:szCs w:val="21"/>
        </w:rPr>
        <w:t>名称：嘉兴市财政局</w:t>
      </w:r>
    </w:p>
    <w:p w14:paraId="71B7BFA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rFonts w:hint="eastAsia" w:ascii="微软雅黑" w:hAnsi="微软雅黑" w:eastAsia="微软雅黑" w:cs="微软雅黑"/>
          <w:i w:val="0"/>
          <w:iCs w:val="0"/>
          <w:caps w:val="0"/>
          <w:color w:val="000000"/>
          <w:spacing w:val="0"/>
          <w:sz w:val="21"/>
          <w:szCs w:val="21"/>
          <w:lang w:val="en-US" w:eastAsia="zh-CN"/>
        </w:rPr>
      </w:pPr>
      <w:r>
        <w:rPr>
          <w:rFonts w:hint="eastAsia" w:ascii="微软雅黑" w:hAnsi="微软雅黑" w:eastAsia="微软雅黑" w:cs="微软雅黑"/>
          <w:i w:val="0"/>
          <w:iCs w:val="0"/>
          <w:caps w:val="0"/>
          <w:color w:val="000000"/>
          <w:spacing w:val="0"/>
          <w:sz w:val="21"/>
          <w:szCs w:val="21"/>
          <w:lang w:val="en-US" w:eastAsia="zh-CN"/>
        </w:rPr>
        <w:t>联系人：姚先生</w:t>
      </w:r>
    </w:p>
    <w:p w14:paraId="4A8C552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20"/>
        <w:textAlignment w:val="auto"/>
        <w:rPr>
          <w:sz w:val="18"/>
          <w:szCs w:val="21"/>
        </w:rPr>
      </w:pPr>
      <w:r>
        <w:rPr>
          <w:rFonts w:hint="eastAsia" w:ascii="微软雅黑" w:hAnsi="微软雅黑" w:eastAsia="微软雅黑" w:cs="微软雅黑"/>
          <w:i w:val="0"/>
          <w:iCs w:val="0"/>
          <w:caps w:val="0"/>
          <w:color w:val="000000"/>
          <w:spacing w:val="0"/>
          <w:sz w:val="21"/>
          <w:szCs w:val="21"/>
          <w:lang w:val="en-US" w:eastAsia="zh-CN"/>
        </w:rPr>
        <w:t>监督</w:t>
      </w:r>
      <w:r>
        <w:rPr>
          <w:rFonts w:hint="eastAsia" w:ascii="微软雅黑" w:hAnsi="微软雅黑" w:eastAsia="微软雅黑" w:cs="微软雅黑"/>
          <w:i w:val="0"/>
          <w:iCs w:val="0"/>
          <w:caps w:val="0"/>
          <w:color w:val="000000"/>
          <w:spacing w:val="0"/>
          <w:sz w:val="21"/>
          <w:szCs w:val="21"/>
        </w:rPr>
        <w:t>投诉电话：0573-82031217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1513A"/>
    <w:rsid w:val="65700ED1"/>
    <w:rsid w:val="6D124CE0"/>
    <w:rsid w:val="74F74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Normal (Web)"/>
    <w:basedOn w:val="1"/>
    <w:qFormat/>
    <w:uiPriority w:val="0"/>
    <w:rPr>
      <w:sz w:val="24"/>
    </w:rPr>
  </w:style>
  <w:style w:type="paragraph" w:customStyle="1" w:styleId="6">
    <w:name w:val="_Style 3"/>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1655</Words>
  <Characters>1828</Characters>
  <Lines>0</Lines>
  <Paragraphs>0</Paragraphs>
  <TotalTime>5</TotalTime>
  <ScaleCrop>false</ScaleCrop>
  <LinksUpToDate>false</LinksUpToDate>
  <CharactersWithSpaces>1828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2025-06-30T10:04:00Z</dcterms:created>
  <dc:creator>GH-098</dc:creator>
  <cp:lastModifiedBy>浙江国华工程管理有限公司</cp:lastModifiedBy>
  <dcterms:modified xsi:type="dcterms:W3CDTF">2025-07-01T03:15:40Z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eyJoZGlkIjoiYjcyOTYxYzYzYTcyOTBhNjFhYTA5YmJjMjc4NTIyMjQiLCJ1c2VySWQiOiI2NTQ4OTIyNzMifQ==</vt:lpwstr>
  </property>
  <property fmtid="{D5CDD505-2E9C-101B-9397-08002B2CF9AE}" pid="4" name="ICV">
    <vt:lpwstr>AB19F359DDC441998CCA247ED5F1C8C9_13</vt:lpwstr>
  </property>
</Properties>
</file>